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36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ze 7. zasedání Zastupitelstva obce v Janově nad Nisou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3.9.2025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54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/2025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 Janov nad Nisou schvaluje uzavření Směnné smlouvy č. 25ODB99940101 mezi Povodí Labe, s.p., Víta Nejedlého 951/8, Slezské Předměstí, 500 03  Hradec Králové, IČ: 70890005 a Obcí Janov nad Nisou, Janov nad Nisou 520, 468 11  Janov nad Nisou, IČ: 00262358 a zároveň  pověřuje starostu obce k podpisu smlouvy.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55/2025</w:t>
      </w:r>
    </w:p>
    <w:p>
      <w:pPr>
        <w:pStyle w:val="Normal"/>
        <w:spacing w:before="0" w:after="0"/>
        <w:ind w:start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>Zastupitelstvo obce Janov nad Nisou</w:t>
      </w:r>
    </w:p>
    <w:tbl>
      <w:tblPr>
        <w:tblW w:w="907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"/>
        <w:gridCol w:w="98"/>
        <w:gridCol w:w="8955"/>
      </w:tblGrid>
      <w:tr>
        <w:trPr>
          <w:trHeight w:val="1020" w:hRule="atLeast"/>
        </w:trPr>
        <w:tc>
          <w:tcPr>
            <w:tcW w:w="19" w:type="dxa"/>
            <w:tcBorders/>
          </w:tcPr>
          <w:p>
            <w:pPr>
              <w:pStyle w:val="Heading4"/>
              <w:tabs>
                <w:tab w:val="clear" w:pos="709"/>
              </w:tabs>
              <w:snapToGrid w:val="false"/>
              <w:spacing w:before="240" w:after="60"/>
              <w:ind w:hanging="0" w:start="360" w:end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8" w:type="dxa"/>
            <w:tcBorders/>
          </w:tcPr>
          <w:p>
            <w:pPr>
              <w:pStyle w:val="normal1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955" w:type="dxa"/>
            <w:tcBorders/>
          </w:tcPr>
          <w:p>
            <w:pPr>
              <w:pStyle w:val="normal1"/>
              <w:suppressLineNumbers/>
              <w:jc w:val="both"/>
              <w:rPr>
                <w:rFonts w:ascii="Times New Roman" w:hAnsi="Times New Roman"/>
              </w:rPr>
            </w:pPr>
            <w:r>
              <w:rPr>
                <w:rFonts w:cs="Bookman Old Style"/>
                <w:b w:val="false"/>
                <w:bCs w:val="false"/>
                <w:color w:val="000000"/>
                <w:sz w:val="24"/>
                <w:szCs w:val="24"/>
              </w:rPr>
              <w:t xml:space="preserve">schvaluje podnět na změnu územního plánu na pozemku p.č. 66/2 v k.ú. Hraničná nad Nisou ze stabilizované Plochy obytné – bydlení v rodinných domech BV na plochu zeleně bez možnosti zastavění. Podnět bude prověřen Změnou č. 1 ÚP Janov nad Nisou. </w:t>
            </w:r>
          </w:p>
        </w:tc>
      </w:tr>
    </w:tbl>
    <w:p>
      <w:pPr>
        <w:pStyle w:val="Normal"/>
        <w:widowControl w:val="false"/>
        <w:shd w:val="clear" w:fill="FFFFFF"/>
        <w:tabs>
          <w:tab w:val="clear" w:pos="709"/>
          <w:tab w:val="left" w:pos="1024" w:leader="none"/>
        </w:tabs>
        <w:suppressAutoHyphens w:val="true"/>
        <w:bidi w:val="0"/>
        <w:spacing w:lineRule="atLeast" w:line="100" w:before="0" w:after="120"/>
        <w:ind w:end="3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56/2025</w:t>
      </w:r>
    </w:p>
    <w:p>
      <w:pPr>
        <w:pStyle w:val="Normal"/>
        <w:spacing w:before="0" w:after="0"/>
        <w:ind w:start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>Zastupitelstvo obce Janov nad Nisou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21"/>
        <w:gridCol w:w="6"/>
        <w:gridCol w:w="9611"/>
      </w:tblGrid>
      <w:tr>
        <w:trPr>
          <w:trHeight w:val="1470" w:hRule="atLeast"/>
        </w:trPr>
        <w:tc>
          <w:tcPr>
            <w:tcW w:w="21" w:type="dxa"/>
            <w:tcBorders/>
          </w:tcPr>
          <w:p>
            <w:pPr>
              <w:pStyle w:val="Heading4"/>
              <w:spacing w:before="240" w:after="60"/>
              <w:ind w:start="360"/>
              <w:jc w:val="both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Heading4"/>
              <w:spacing w:before="80" w:after="40"/>
              <w:ind w:start="284"/>
              <w:jc w:val="both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11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>v souladu s § 27 zákona č. 283/2021 Sb., stavební zákon, ve znění pozdějších předpisů, prověření podnětu J.</w:t>
            </w: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>V</w:t>
            </w: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>. v pořizované Změně č. 1 Územního plánu Janov nad Nisou</w:t>
            </w:r>
          </w:p>
          <w:p>
            <w:pPr>
              <w:pStyle w:val="Normal"/>
              <w:jc w:val="both"/>
              <w:rPr/>
            </w:pP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 xml:space="preserve">neschvaluje. </w:t>
            </w:r>
          </w:p>
          <w:p>
            <w:pPr>
              <w:pStyle w:val="Normal"/>
              <w:jc w:val="both"/>
              <w:rPr/>
            </w:pP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>Podnět bude vyhodnocen postupem podle § 107 odst. 2 písm. f) stavebního zákona v další zprávě o uplatňování ÚP Janov nad Nisou.</w:t>
            </w:r>
          </w:p>
        </w:tc>
      </w:tr>
    </w:tbl>
    <w:p>
      <w:pPr>
        <w:pStyle w:val="Normal"/>
        <w:widowControl w:val="false"/>
        <w:shd w:val="clear" w:fill="FFFFFF"/>
        <w:tabs>
          <w:tab w:val="clear" w:pos="709"/>
          <w:tab w:val="left" w:pos="1024" w:leader="none"/>
        </w:tabs>
        <w:suppressAutoHyphens w:val="true"/>
        <w:bidi w:val="0"/>
        <w:spacing w:lineRule="atLeast" w:line="100" w:before="0" w:after="120"/>
        <w:ind w:end="3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57/2025</w:t>
      </w:r>
    </w:p>
    <w:p>
      <w:pPr>
        <w:pStyle w:val="Normal"/>
        <w:spacing w:before="0" w:after="0"/>
        <w:ind w:start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</w:rPr>
        <w:t>Zastupitelstvo obce Janov nad Nisou</w:t>
      </w:r>
    </w:p>
    <w:tbl>
      <w:tblPr>
        <w:tblW w:w="975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117"/>
        <w:gridCol w:w="1"/>
        <w:gridCol w:w="9632"/>
      </w:tblGrid>
      <w:tr>
        <w:trPr>
          <w:trHeight w:val="960" w:hRule="atLeast"/>
        </w:trPr>
        <w:tc>
          <w:tcPr>
            <w:tcW w:w="117" w:type="dxa"/>
            <w:tcBorders/>
          </w:tcPr>
          <w:p>
            <w:pPr>
              <w:pStyle w:val="Heading4"/>
              <w:spacing w:before="240" w:after="60"/>
              <w:ind w:start="360"/>
              <w:jc w:val="both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Heading4"/>
              <w:spacing w:before="80" w:after="40"/>
              <w:ind w:start="284"/>
              <w:jc w:val="both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32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Style w:val="Strong"/>
                <w:rFonts w:eastAsia="DejaVu Sans" w:cs="Arial" w:ascii="Times New Roman" w:hAnsi="Times New Roman" w:eastAsiaTheme="majorEastAsia"/>
                <w:b w:val="false"/>
                <w:bCs w:val="false"/>
                <w:sz w:val="24"/>
                <w:szCs w:val="24"/>
              </w:rPr>
              <w:t>v souladu s § 27 zákona č. 283/2021 Sb., stavební zákon, ve znění pozdějších předpisů, prověření podnětu P.J.  na pozemku p.č. 901 v k.ú. Hraničná nad Nisou schvaluje, a to v pořizované Změně č. 1 Územního plánu Janov nad Nisou</w:t>
            </w:r>
          </w:p>
          <w:p>
            <w:pPr>
              <w:pStyle w:val="Normal"/>
              <w:jc w:val="both"/>
              <w:rPr>
                <w:rFonts w:ascii="Times New Roman" w:hAnsi="Times New Roman" w:eastAsia="DejaVu Sans" w:cs="Arial" w:eastAsiaTheme="majorEastAsia"/>
                <w:b w:val="false"/>
                <w:bCs w:val="false"/>
                <w:sz w:val="24"/>
                <w:szCs w:val="24"/>
              </w:rPr>
            </w:pPr>
            <w:r>
              <w:rPr>
                <w:rFonts w:eastAsia="DejaVu Sans" w:cs="Arial" w:eastAsiaTheme="majorEastAsia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DejaVu Sans" w:cs="Arial" w:eastAsiaTheme="majorEastAsia"/>
                <w:b w:val="false"/>
                <w:bCs w:val="false"/>
                <w:sz w:val="24"/>
                <w:szCs w:val="24"/>
              </w:rPr>
            </w:pPr>
            <w:r>
              <w:rPr>
                <w:rFonts w:eastAsia="DejaVu Sans" w:cs="Arial" w:eastAsiaTheme="majorEastAsia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58/2025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u w:val="none"/>
          <w:shd w:fill="auto" w:val="clear"/>
          <w:lang w:eastAsia="cs-CZ" w:bidi="cs-CZ"/>
        </w:rPr>
        <w:t>ZO Janov nad Nisou schvaluje rozpočtové opatření č. 3/2025.</w:t>
      </w:r>
    </w:p>
    <w:tbl>
      <w:tblPr>
        <w:tblW w:w="11167" w:type="dxa"/>
        <w:jc w:val="start"/>
        <w:tblInd w:w="-114" w:type="dxa"/>
        <w:tblLayout w:type="fixed"/>
        <w:tblCellMar>
          <w:top w:w="40" w:type="dxa"/>
          <w:start w:w="40" w:type="dxa"/>
          <w:bottom w:w="40" w:type="dxa"/>
          <w:end w:w="40" w:type="dxa"/>
        </w:tblCellMar>
      </w:tblPr>
      <w:tblGrid>
        <w:gridCol w:w="2115"/>
        <w:gridCol w:w="9051"/>
      </w:tblGrid>
      <w:tr>
        <w:trPr>
          <w:trHeight w:val="435" w:hRule="atLeast"/>
          <w:cantSplit w:val="true"/>
        </w:trPr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25"/>
                <w:szCs w:val="25"/>
              </w:rPr>
            </w:r>
          </w:p>
        </w:tc>
        <w:tc>
          <w:tcPr>
            <w:tcW w:w="9051" w:type="dxa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25"/>
                <w:szCs w:val="25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ascii="Times New Roman" w:hAnsi="Times New Roman"/>
          <w:color w:val="000000"/>
          <w:kern w:val="0"/>
          <w:sz w:val="17"/>
          <w:szCs w:val="17"/>
        </w:rPr>
      </w:pPr>
      <w:r>
        <w:rPr>
          <w:rFonts w:ascii="Times New Roman" w:hAnsi="Times New Roman"/>
          <w:color w:val="000000"/>
          <w:kern w:val="0"/>
          <w:sz w:val="17"/>
          <w:szCs w:val="17"/>
        </w:rPr>
      </w:r>
    </w:p>
    <w:tbl>
      <w:tblPr>
        <w:tblW w:w="6411" w:type="dxa"/>
        <w:jc w:val="start"/>
        <w:tblInd w:w="-40" w:type="dxa"/>
        <w:tblLayout w:type="fixed"/>
        <w:tblCellMar>
          <w:top w:w="40" w:type="dxa"/>
          <w:start w:w="0" w:type="dxa"/>
          <w:bottom w:w="40" w:type="dxa"/>
          <w:end w:w="0" w:type="dxa"/>
        </w:tblCellMar>
      </w:tblPr>
      <w:tblGrid>
        <w:gridCol w:w="259"/>
        <w:gridCol w:w="439"/>
        <w:gridCol w:w="439"/>
        <w:gridCol w:w="111"/>
        <w:gridCol w:w="659"/>
        <w:gridCol w:w="439"/>
        <w:gridCol w:w="110"/>
        <w:gridCol w:w="659"/>
        <w:gridCol w:w="439"/>
        <w:gridCol w:w="1758"/>
        <w:gridCol w:w="659"/>
        <w:gridCol w:w="439"/>
      </w:tblGrid>
      <w:tr>
        <w:trPr>
          <w:cantSplit w:val="true"/>
        </w:trPr>
        <w:tc>
          <w:tcPr>
            <w:tcW w:w="259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</w:p>
        </w:tc>
        <w:tc>
          <w:tcPr>
            <w:tcW w:w="43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</w:p>
        </w:tc>
        <w:tc>
          <w:tcPr>
            <w:tcW w:w="1209" w:type="dxa"/>
            <w:gridSpan w:val="3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Změna</w:t>
            </w:r>
          </w:p>
        </w:tc>
        <w:tc>
          <w:tcPr>
            <w:tcW w:w="1208" w:type="dxa"/>
            <w:gridSpan w:val="3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 změně</w:t>
            </w:r>
          </w:p>
        </w:tc>
        <w:tc>
          <w:tcPr>
            <w:tcW w:w="2856" w:type="dxa"/>
            <w:gridSpan w:val="3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Popis změny / OdPa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10 000,00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454 650,00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DPPO Obec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1334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2 500,00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4)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1342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200 000,00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 poplatky z pobytu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5)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1345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80 000,00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 odpady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1356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10 200,00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 dobývání nerostů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7)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1386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40 000,00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 hazard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8)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1387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25 000,00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 hazard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9)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32 500,00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Volby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854 850,00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Bez ODPA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10)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2329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85 589,00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Vyúčtování služeb kavárna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85 589,00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Nebytové hospodářství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11)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2119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8 000,00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12)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zvýšené příjmy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10 000,00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Komunální služby a územní rozvoj jinde nezařazené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13)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65 000,00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Příjem EKO KOM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1209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65 000,00</w:t>
            </w:r>
          </w:p>
        </w:tc>
        <w:tc>
          <w:tcPr>
            <w:tcW w:w="1208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Využívání a zneškodňování komunálních odpadů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1248" w:type="dxa"/>
            <w:gridSpan w:val="4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1 015 439,00</w:t>
            </w:r>
          </w:p>
        </w:tc>
        <w:tc>
          <w:tcPr>
            <w:tcW w:w="1208" w:type="dxa"/>
            <w:gridSpan w:val="3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856" w:type="dxa"/>
            <w:gridSpan w:val="3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098" w:type="dxa"/>
            <w:gridSpan w:val="2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ascii="Times New Roman" w:hAnsi="Times New Roman" w:cs="Calibri"/>
          <w:b/>
          <w:bCs/>
          <w:color w:val="000000"/>
          <w:kern w:val="0"/>
          <w:sz w:val="17"/>
          <w:szCs w:val="17"/>
        </w:rPr>
      </w:pPr>
      <w:r>
        <w:rPr>
          <w:rFonts w:cs="Calibri" w:ascii="Times New Roman" w:hAnsi="Times New Roman"/>
          <w:b/>
          <w:bCs/>
          <w:color w:val="000000"/>
          <w:kern w:val="0"/>
          <w:sz w:val="17"/>
          <w:szCs w:val="17"/>
        </w:rPr>
      </w:r>
    </w:p>
    <w:tbl>
      <w:tblPr>
        <w:tblW w:w="5195" w:type="dxa"/>
        <w:jc w:val="start"/>
        <w:tblInd w:w="-40" w:type="dxa"/>
        <w:tblLayout w:type="fixed"/>
        <w:tblCellMar>
          <w:top w:w="40" w:type="dxa"/>
          <w:start w:w="0" w:type="dxa"/>
          <w:bottom w:w="40" w:type="dxa"/>
          <w:end w:w="0" w:type="dxa"/>
        </w:tblCellMar>
      </w:tblPr>
      <w:tblGrid>
        <w:gridCol w:w="259"/>
        <w:gridCol w:w="438"/>
        <w:gridCol w:w="439"/>
        <w:gridCol w:w="109"/>
        <w:gridCol w:w="653"/>
        <w:gridCol w:w="439"/>
        <w:gridCol w:w="2858"/>
      </w:tblGrid>
      <w:tr>
        <w:trPr>
          <w:cantSplit w:val="true"/>
        </w:trPr>
        <w:tc>
          <w:tcPr>
            <w:tcW w:w="259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</w:p>
        </w:tc>
        <w:tc>
          <w:tcPr>
            <w:tcW w:w="43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</w:p>
        </w:tc>
        <w:tc>
          <w:tcPr>
            <w:tcW w:w="1201" w:type="dxa"/>
            <w:gridSpan w:val="3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Změna</w:t>
            </w:r>
          </w:p>
        </w:tc>
        <w:tc>
          <w:tcPr>
            <w:tcW w:w="2858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Popis změny / OdPa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14)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285 000,00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opravy komunikací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285 000,00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15)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12 000,00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16)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18 500,00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17)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FF0000"/>
                <w:kern w:val="0"/>
                <w:sz w:val="14"/>
                <w:szCs w:val="14"/>
              </w:rPr>
              <w:t>-30 500 ,00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Přesun na jinou položku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18)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FF0000"/>
                <w:kern w:val="0"/>
                <w:sz w:val="14"/>
                <w:szCs w:val="14"/>
              </w:rPr>
              <w:t>-62 000 ,00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Přesun do paragrafu 6409 ale použití zůstává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>-62 000 ,00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19)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každoročně přidáváme do rozpočtu po obdržení dotace z Bedřichov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20)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10 000,00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každoročně přidáváme do rozpočtu po obdržení dotace z Bedřichov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21)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každoročně přidáváme do rozpočtu po obdržení dotace z Bedřichov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22)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10 000,00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každoročně přidáváme do rozpočtu po obdržení dotace z Bedřichov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30 000,00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23)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6114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20 000,00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volby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24)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6114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9 500,00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volby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25)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6114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3 000,00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volby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6114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32 500,00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26)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213 289,00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Rezerva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213 289,00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27)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FF0000"/>
                <w:kern w:val="0"/>
                <w:sz w:val="14"/>
                <w:szCs w:val="14"/>
              </w:rPr>
              <w:t>-500 000 ,00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Převod na položku 5362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28)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954 650,00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DPPO obec plus převod z položky 5362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454 650,00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29)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26 000,00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30)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4 000,00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31)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5339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12 000,00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32)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5494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20 000,00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62 000,00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1245" w:type="dxa"/>
            <w:gridSpan w:val="4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1 015 439,00</w:t>
            </w:r>
          </w:p>
        </w:tc>
        <w:tc>
          <w:tcPr>
            <w:tcW w:w="3950" w:type="dxa"/>
            <w:gridSpan w:val="3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ascii="Times New Roman" w:hAnsi="Times New Roman" w:cs="Calibri"/>
          <w:b/>
          <w:bCs/>
          <w:color w:val="000000"/>
          <w:kern w:val="0"/>
          <w:sz w:val="17"/>
          <w:szCs w:val="17"/>
        </w:rPr>
      </w:pPr>
      <w:r>
        <w:rPr>
          <w:rFonts w:cs="Calibri" w:ascii="Times New Roman" w:hAnsi="Times New Roman"/>
          <w:b/>
          <w:bCs/>
          <w:color w:val="000000"/>
          <w:kern w:val="0"/>
          <w:sz w:val="17"/>
          <w:szCs w:val="17"/>
        </w:rPr>
      </w:r>
    </w:p>
    <w:tbl>
      <w:tblPr>
        <w:tblW w:w="5195" w:type="dxa"/>
        <w:jc w:val="start"/>
        <w:tblInd w:w="-40" w:type="dxa"/>
        <w:tblLayout w:type="fixed"/>
        <w:tblCellMar>
          <w:top w:w="40" w:type="dxa"/>
          <w:start w:w="0" w:type="dxa"/>
          <w:bottom w:w="40" w:type="dxa"/>
          <w:end w:w="0" w:type="dxa"/>
        </w:tblCellMar>
      </w:tblPr>
      <w:tblGrid>
        <w:gridCol w:w="259"/>
        <w:gridCol w:w="438"/>
        <w:gridCol w:w="439"/>
        <w:gridCol w:w="109"/>
        <w:gridCol w:w="653"/>
        <w:gridCol w:w="439"/>
        <w:gridCol w:w="2858"/>
      </w:tblGrid>
      <w:tr>
        <w:trPr>
          <w:cantSplit w:val="true"/>
        </w:trPr>
        <w:tc>
          <w:tcPr>
            <w:tcW w:w="259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</w:p>
        </w:tc>
        <w:tc>
          <w:tcPr>
            <w:tcW w:w="43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</w:p>
        </w:tc>
        <w:tc>
          <w:tcPr>
            <w:tcW w:w="1201" w:type="dxa"/>
            <w:gridSpan w:val="3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Změna</w:t>
            </w:r>
          </w:p>
        </w:tc>
        <w:tc>
          <w:tcPr>
            <w:tcW w:w="2858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kern w:val="0"/>
                <w:sz w:val="14"/>
                <w:szCs w:val="14"/>
              </w:rPr>
              <w:t>Popis změny / OdPa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33)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5 000 000,00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termínovaný účet</w:t>
            </w:r>
          </w:p>
        </w:tc>
      </w:tr>
      <w:tr>
        <w:trPr>
          <w:cantSplit w:val="true"/>
        </w:trPr>
        <w:tc>
          <w:tcPr>
            <w:tcW w:w="25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34)</w:t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43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FF0000"/>
                <w:kern w:val="0"/>
                <w:sz w:val="14"/>
                <w:szCs w:val="14"/>
              </w:rPr>
              <w:t>-5 000 000 ,00</w:t>
            </w:r>
          </w:p>
        </w:tc>
        <w:tc>
          <w:tcPr>
            <w:tcW w:w="2858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color w:val="000000"/>
                <w:kern w:val="0"/>
                <w:sz w:val="14"/>
                <w:szCs w:val="14"/>
              </w:rPr>
              <w:t>termínovaný účet</w:t>
            </w:r>
          </w:p>
        </w:tc>
      </w:tr>
      <w:tr>
        <w:trPr>
          <w:trHeight w:val="243" w:hRule="atLeast"/>
          <w:cantSplit w:val="true"/>
        </w:trPr>
        <w:tc>
          <w:tcPr>
            <w:tcW w:w="259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38" w:type="dxa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1201" w:type="dxa"/>
            <w:gridSpan w:val="3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3297" w:type="dxa"/>
            <w:gridSpan w:val="2"/>
            <w:tcBorders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1245" w:type="dxa"/>
            <w:gridSpan w:val="4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3950" w:type="dxa"/>
            <w:gridSpan w:val="3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ascii="Times New Roman" w:hAnsi="Times New Roman"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ascii="Times New Roman" w:hAnsi="Times New Roman" w:cs="Calibri"/>
          <w:b/>
          <w:bCs/>
          <w:color w:val="000000"/>
          <w:kern w:val="0"/>
          <w:sz w:val="17"/>
          <w:szCs w:val="17"/>
        </w:rPr>
      </w:pPr>
      <w:r>
        <w:rPr>
          <w:rFonts w:cs="Calibri" w:ascii="Times New Roman" w:hAnsi="Times New Roman"/>
          <w:b/>
          <w:bCs/>
          <w:color w:val="000000"/>
          <w:kern w:val="0"/>
          <w:sz w:val="17"/>
          <w:szCs w:val="17"/>
        </w:rPr>
      </w:r>
    </w:p>
    <w:p>
      <w:pPr>
        <w:pStyle w:val="Normal"/>
        <w:widowControl/>
        <w:shd w:val="clear" w:fill="FFFFFF"/>
        <w:tabs>
          <w:tab w:val="clear" w:pos="709"/>
          <w:tab w:val="left" w:pos="1054" w:leader="none"/>
          <w:tab w:val="left" w:pos="1665" w:leader="none"/>
        </w:tabs>
        <w:suppressAutoHyphens w:val="false"/>
        <w:spacing w:before="0" w:after="120"/>
        <w:ind w:end="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r>
    </w:p>
    <w:p>
      <w:pPr>
        <w:pStyle w:val="Normal"/>
        <w:widowControl/>
        <w:shd w:val="clear" w:fill="FFFFFF"/>
        <w:tabs>
          <w:tab w:val="clear" w:pos="709"/>
          <w:tab w:val="left" w:pos="1054" w:leader="none"/>
          <w:tab w:val="left" w:pos="1665" w:leader="none"/>
        </w:tabs>
        <w:suppressAutoHyphens w:val="false"/>
        <w:spacing w:before="0" w:after="120"/>
        <w:ind w:end="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r>
    </w:p>
    <w:p>
      <w:pPr>
        <w:pStyle w:val="Normal"/>
        <w:widowControl/>
        <w:shd w:val="clear" w:fill="FFFFFF"/>
        <w:tabs>
          <w:tab w:val="clear" w:pos="709"/>
          <w:tab w:val="left" w:pos="1054" w:leader="none"/>
          <w:tab w:val="left" w:pos="1665" w:leader="none"/>
        </w:tabs>
        <w:suppressAutoHyphens w:val="false"/>
        <w:spacing w:before="0" w:after="120"/>
        <w:ind w:end="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r>
    </w:p>
    <w:p>
      <w:pPr>
        <w:pStyle w:val="Normal"/>
        <w:widowControl/>
        <w:shd w:val="clear" w:fill="FFFFFF"/>
        <w:tabs>
          <w:tab w:val="clear" w:pos="709"/>
          <w:tab w:val="left" w:pos="1054" w:leader="none"/>
          <w:tab w:val="left" w:pos="1665" w:leader="none"/>
        </w:tabs>
        <w:suppressAutoHyphens w:val="false"/>
        <w:spacing w:before="0" w:after="120"/>
        <w:ind w:end="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Style w:val="Hyperlink"/>
          <w:rFonts w:ascii="Times New Roman" w:hAnsi="Times New Roman"/>
          <w:b/>
          <w:bCs/>
          <w:color w:val="000000"/>
          <w:u w:val="single"/>
        </w:rPr>
        <w:t>Usnesení č. 59/2025</w:t>
      </w:r>
    </w:p>
    <w:p>
      <w:pPr>
        <w:pStyle w:val="Normal"/>
        <w:spacing w:before="280" w:after="28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ZO Janov nad Nisou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</w:rPr>
        <w:t xml:space="preserve">schvaluje Veřejnoprávní smlouva číslo SO/2025/0287, týkající se zabezpečení provedení zápisů údajů do informačního systému územní identifikace adres a nemovitostí podle zákona č. 111/2009 Sb., o základních registrech, ve znění pozdějších předpisů, orgány statutárního města Jablonec nad Nisou namísto orgánů obce Janov nad Nisou, mezi obcí Janov nad Nisou a Statutárním městem Jablonec nad Nisou. 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</w:rPr>
        <w:t>pověřuje starostu obce podpisem této smlouvy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Style w:val="Hyperlink"/>
          <w:rFonts w:ascii="Times New Roman" w:hAnsi="Times New Roman"/>
          <w:b/>
          <w:bCs/>
          <w:color w:val="000000"/>
          <w:u w:val="single"/>
        </w:rPr>
        <w:t>Usnesení č. 60/2025</w:t>
      </w:r>
    </w:p>
    <w:p>
      <w:pPr>
        <w:pStyle w:val="NormalWeb"/>
        <w:spacing w:before="280" w:after="280"/>
        <w:jc w:val="both"/>
        <w:rPr>
          <w:rFonts w:ascii="Times New Roman" w:hAnsi="Times New Roman"/>
        </w:rPr>
      </w:pPr>
      <w:r>
        <w:rPr>
          <w:i w:val="false"/>
          <w:iCs w:val="false"/>
        </w:rPr>
        <w:t>ZO Janov nad Nisou  schvaluje prodloužení předání stavby Janov nad Nisou č.p. 519 z důvodu realizace kuchyní v bytech o třicet dnů tj. do 31.10.2025 a zároveň schvaluje navýšení rozpočtu o 150.000,- Kč (jednostopadesáttisíc), za které budou kuchyně pořízeny, dle cenové nabídky.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pPr>
      <w:r>
        <w:rPr>
          <w:rFonts w:eastAsia="Times New Roman"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cs-CZ" w:eastAsia="cs-CZ" w:bidi="cs-CZ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        Renata Mádlová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  <w:t xml:space="preserve">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  <w:t xml:space="preserve">starosta obce                                                        místostarostka obce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Výchozí_styl_stránk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Výchozí_styl_stránk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59" w:before="80" w:after="40"/>
      <w:outlineLvl w:val="3"/>
    </w:pPr>
    <w:rPr>
      <w:rFonts w:ascii="Arial" w:hAnsi="Arial" w:eastAsia="DejaVu Sans" w:cs="DejaVu Sans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cs-CZ" w:eastAsia="zh-CN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cs-CZ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LibreOffice/24.2.7.2$Windows_X86_64 LibreOffice_project/ee3885777aa7032db5a9b65deec9457448a91162</Application>
  <AppVersion>15.0000</AppVersion>
  <Pages>3</Pages>
  <Words>711</Words>
  <Characters>3510</Characters>
  <CharactersWithSpaces>4184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2025-04-22T08:04:23Z</dcterms:created>
  <dc:creator/>
  <dc:description/>
  <dc:language>cs-CZ</dc:language>
  <cp:lastModifiedBy/>
  <cp:lastPrinted>2025-09-08T09:42:51Z</cp:lastPrinted>
  <dcterms:modified xsi:type="dcterms:W3CDTF">2025-09-08T09:49:27Z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